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4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ind w:left="0" w:leftChars="0" w:right="0"/>
        <w:jc w:val="both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b/>
          <w:bCs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eastAsia="zh-CN"/>
        </w:rPr>
        <w:t>残疾等级评定结果告知书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按照《军人抚恤优待条例》、《军人残疾等级评定标准》等政策文件，经审查/鉴定，你的残疾等级评定结果如下：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□因所提交材料不符合因战因公致残条件，不予评定残疾等级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；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残疾情况达不到《军人残疾等级评定标准》，不予评定残疾等级；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，不予评定残疾等级；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□残疾情况与原定残疾等级相符，不予调整残疾等级；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□残疾情况发生明显变化，符合《军人残疾等级评定标准》第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条第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将残疾等级调整为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 w:color="auto"/>
          <w:lang w:val="en-US" w:eastAsia="zh-CN"/>
        </w:rPr>
        <w:t>级；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□残疾情况明显减轻或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消失，已经达不到最低等级评定标准，取消原定的残疾等级。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特此告知。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如今后原评残部位残疾情况发生变化，可提交近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6个月内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原定残疾等级与残疾情况明显不符的二级甲等以上医院的就诊病历、检验检查报告、诊断结论等，向户籍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所在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地县级人民政府退役军人事务局重新申请评定残疾等级。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如对本告知书不服，可以在收到告知书之日起60日内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  <w:lang w:eastAsia="zh-CN"/>
        </w:rPr>
        <w:t>向本级人民政府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申请行政复议，或者在6个月内向人民法院提起行政诉讼。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6080" w:hanging="6080" w:hangingChars="19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退役军人事务厅（局）（章）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6398" w:leftChars="304" w:hanging="5760" w:hangingChars="18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EB208E"/>
    <w:rsid w:val="70EB2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2025-10-13T07:42:00Z</dcterms:created>
  <dc:creator>Administrator</dc:creator>
  <cp:lastModifiedBy>Administrator</cp:lastModifiedBy>
  <dcterms:modified xsi:type="dcterms:W3CDTF">2025-10-13T07:42:48Z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79E7F1F465CB428096D42068B7928232</vt:lpwstr>
  </property>
</Properties>
</file>